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2723" w:rsidRPr="00746A2B" w:rsidRDefault="00C92723" w:rsidP="00C92723">
      <w:pPr>
        <w:spacing w:after="200" w:line="276" w:lineRule="auto"/>
        <w:rPr>
          <w:rFonts w:eastAsiaTheme="minorHAnsi"/>
          <w:sz w:val="16"/>
          <w:szCs w:val="16"/>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300"/>
      </w:tblGrid>
      <w:tr w:rsidR="00C92723" w:rsidRPr="003E16D1" w:rsidTr="00F07071">
        <w:trPr>
          <w:trHeight w:val="440"/>
        </w:trPr>
        <w:tc>
          <w:tcPr>
            <w:tcW w:w="2515"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pStyle w:val="Default"/>
              <w:framePr w:wrap="auto" w:vAnchor="page" w:hAnchor="page" w:x="1714" w:y="1081"/>
              <w:spacing w:after="120"/>
              <w:jc w:val="center"/>
              <w:rPr>
                <w:rFonts w:ascii="Times New Roman" w:hAnsi="Times New Roman"/>
                <w:b/>
                <w:sz w:val="20"/>
                <w:szCs w:val="20"/>
              </w:rPr>
            </w:pPr>
            <w:r w:rsidRPr="003E16D1">
              <w:rPr>
                <w:rFonts w:ascii="Times New Roman" w:hAnsi="Times New Roman"/>
                <w:b/>
                <w:sz w:val="20"/>
                <w:szCs w:val="20"/>
              </w:rPr>
              <w:t>MANUAL TITLE</w:t>
            </w:r>
          </w:p>
        </w:tc>
        <w:tc>
          <w:tcPr>
            <w:tcW w:w="6300"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framePr w:wrap="auto" w:vAnchor="page" w:hAnchor="page" w:x="1714" w:y="1081"/>
              <w:rPr>
                <w:b/>
                <w:sz w:val="20"/>
                <w:szCs w:val="20"/>
              </w:rPr>
            </w:pPr>
            <w:r>
              <w:rPr>
                <w:b/>
                <w:sz w:val="20"/>
                <w:szCs w:val="20"/>
              </w:rPr>
              <w:t xml:space="preserve">FACILITY </w:t>
            </w:r>
            <w:r w:rsidRPr="003E16D1">
              <w:rPr>
                <w:b/>
                <w:sz w:val="20"/>
                <w:szCs w:val="20"/>
              </w:rPr>
              <w:t>POLICIES AND PROCEDURES</w:t>
            </w:r>
          </w:p>
        </w:tc>
      </w:tr>
      <w:tr w:rsidR="00C92723" w:rsidRPr="003E16D1" w:rsidTr="00F07071">
        <w:tc>
          <w:tcPr>
            <w:tcW w:w="2515"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pStyle w:val="Default"/>
              <w:framePr w:wrap="auto" w:vAnchor="page" w:hAnchor="page" w:x="1714" w:y="1081"/>
              <w:spacing w:after="120"/>
              <w:jc w:val="center"/>
              <w:rPr>
                <w:rFonts w:ascii="Times New Roman" w:hAnsi="Times New Roman"/>
                <w:b/>
                <w:sz w:val="20"/>
                <w:szCs w:val="20"/>
              </w:rPr>
            </w:pPr>
            <w:r w:rsidRPr="003E16D1">
              <w:rPr>
                <w:rFonts w:ascii="Times New Roman" w:hAnsi="Times New Roman"/>
                <w:b/>
                <w:sz w:val="20"/>
                <w:szCs w:val="20"/>
              </w:rPr>
              <w:t>POLICY TITLE</w:t>
            </w:r>
          </w:p>
        </w:tc>
        <w:tc>
          <w:tcPr>
            <w:tcW w:w="6300"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pStyle w:val="Default"/>
              <w:framePr w:wrap="auto" w:vAnchor="page" w:hAnchor="page" w:x="1714" w:y="1081"/>
              <w:spacing w:after="120"/>
              <w:rPr>
                <w:rFonts w:ascii="Times New Roman" w:hAnsi="Times New Roman"/>
                <w:sz w:val="20"/>
                <w:szCs w:val="20"/>
              </w:rPr>
            </w:pPr>
            <w:r>
              <w:rPr>
                <w:rFonts w:ascii="Times New Roman" w:hAnsi="Times New Roman"/>
                <w:sz w:val="20"/>
                <w:szCs w:val="20"/>
              </w:rPr>
              <w:t>COVID   Inside Visitation</w:t>
            </w:r>
          </w:p>
        </w:tc>
      </w:tr>
      <w:tr w:rsidR="00C92723" w:rsidRPr="003E16D1" w:rsidTr="00F07071">
        <w:tc>
          <w:tcPr>
            <w:tcW w:w="2515"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pStyle w:val="Default"/>
              <w:framePr w:wrap="auto" w:vAnchor="page" w:hAnchor="page" w:x="1714" w:y="1081"/>
              <w:spacing w:after="120"/>
              <w:jc w:val="center"/>
              <w:rPr>
                <w:rFonts w:ascii="Times New Roman" w:hAnsi="Times New Roman"/>
                <w:b/>
                <w:sz w:val="20"/>
                <w:szCs w:val="20"/>
              </w:rPr>
            </w:pPr>
            <w:r w:rsidRPr="003E16D1">
              <w:rPr>
                <w:rFonts w:ascii="Times New Roman" w:hAnsi="Times New Roman"/>
                <w:b/>
                <w:sz w:val="20"/>
                <w:szCs w:val="20"/>
              </w:rPr>
              <w:t>APPLICATION</w:t>
            </w:r>
          </w:p>
        </w:tc>
        <w:tc>
          <w:tcPr>
            <w:tcW w:w="6300" w:type="dxa"/>
            <w:tcBorders>
              <w:top w:val="single" w:sz="4" w:space="0" w:color="auto"/>
              <w:left w:val="single" w:sz="4" w:space="0" w:color="auto"/>
              <w:bottom w:val="single" w:sz="4" w:space="0" w:color="auto"/>
              <w:right w:val="single" w:sz="4" w:space="0" w:color="auto"/>
            </w:tcBorders>
            <w:hideMark/>
          </w:tcPr>
          <w:p w:rsidR="00C92723" w:rsidRPr="00F975F0" w:rsidRDefault="00C92723" w:rsidP="00F07071">
            <w:pPr>
              <w:pStyle w:val="Default"/>
              <w:framePr w:wrap="auto" w:vAnchor="page" w:hAnchor="page" w:x="1714" w:y="1081"/>
              <w:spacing w:after="120"/>
              <w:rPr>
                <w:rFonts w:ascii="Times New Roman" w:hAnsi="Times New Roman"/>
                <w:b/>
                <w:sz w:val="20"/>
                <w:szCs w:val="20"/>
              </w:rPr>
            </w:pPr>
            <w:r w:rsidRPr="00F975F0">
              <w:rPr>
                <w:rFonts w:ascii="Times New Roman" w:hAnsi="Times New Roman"/>
                <w:b/>
                <w:sz w:val="20"/>
                <w:szCs w:val="20"/>
              </w:rPr>
              <w:t>Nursing Facility</w:t>
            </w:r>
          </w:p>
        </w:tc>
      </w:tr>
      <w:tr w:rsidR="00C92723" w:rsidRPr="003E16D1" w:rsidTr="00F07071">
        <w:tc>
          <w:tcPr>
            <w:tcW w:w="2515"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pStyle w:val="Default"/>
              <w:framePr w:wrap="auto" w:vAnchor="page" w:hAnchor="page" w:x="1714" w:y="1081"/>
              <w:spacing w:after="120"/>
              <w:jc w:val="center"/>
              <w:rPr>
                <w:rFonts w:ascii="Times New Roman" w:hAnsi="Times New Roman"/>
                <w:b/>
                <w:sz w:val="20"/>
                <w:szCs w:val="20"/>
              </w:rPr>
            </w:pPr>
            <w:r w:rsidRPr="003E16D1">
              <w:rPr>
                <w:rFonts w:ascii="Times New Roman" w:hAnsi="Times New Roman"/>
                <w:b/>
                <w:sz w:val="20"/>
                <w:szCs w:val="20"/>
              </w:rPr>
              <w:t>EFFECTIVE DATE</w:t>
            </w:r>
          </w:p>
        </w:tc>
        <w:tc>
          <w:tcPr>
            <w:tcW w:w="6300" w:type="dxa"/>
            <w:tcBorders>
              <w:top w:val="single" w:sz="4" w:space="0" w:color="auto"/>
              <w:left w:val="single" w:sz="4" w:space="0" w:color="auto"/>
              <w:bottom w:val="single" w:sz="4" w:space="0" w:color="auto"/>
              <w:right w:val="single" w:sz="4" w:space="0" w:color="auto"/>
            </w:tcBorders>
            <w:hideMark/>
          </w:tcPr>
          <w:p w:rsidR="00C92723" w:rsidRPr="00B6559A" w:rsidRDefault="00C92723" w:rsidP="00F07071">
            <w:pPr>
              <w:pStyle w:val="Default"/>
              <w:framePr w:wrap="auto" w:vAnchor="page" w:hAnchor="page" w:x="1714" w:y="1081"/>
              <w:spacing w:after="120"/>
              <w:rPr>
                <w:rFonts w:ascii="Times New Roman" w:hAnsi="Times New Roman"/>
                <w:b/>
                <w:sz w:val="20"/>
                <w:szCs w:val="20"/>
              </w:rPr>
            </w:pPr>
            <w:r>
              <w:rPr>
                <w:rFonts w:ascii="Times New Roman" w:hAnsi="Times New Roman"/>
                <w:b/>
                <w:sz w:val="20"/>
                <w:szCs w:val="20"/>
              </w:rPr>
              <w:t>August 20, 2020</w:t>
            </w:r>
          </w:p>
        </w:tc>
      </w:tr>
      <w:tr w:rsidR="00C92723" w:rsidRPr="003E16D1" w:rsidTr="00F07071">
        <w:tc>
          <w:tcPr>
            <w:tcW w:w="2515"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pStyle w:val="Default"/>
              <w:framePr w:wrap="auto" w:vAnchor="page" w:hAnchor="page" w:x="1714" w:y="1081"/>
              <w:spacing w:after="120"/>
              <w:jc w:val="center"/>
              <w:rPr>
                <w:rFonts w:ascii="Times New Roman" w:hAnsi="Times New Roman"/>
                <w:b/>
                <w:sz w:val="20"/>
                <w:szCs w:val="20"/>
              </w:rPr>
            </w:pPr>
            <w:r w:rsidRPr="003E16D1">
              <w:rPr>
                <w:rFonts w:ascii="Times New Roman" w:hAnsi="Times New Roman"/>
                <w:b/>
                <w:sz w:val="20"/>
                <w:szCs w:val="20"/>
              </w:rPr>
              <w:t>REVISION DATE</w:t>
            </w:r>
          </w:p>
        </w:tc>
        <w:tc>
          <w:tcPr>
            <w:tcW w:w="6300" w:type="dxa"/>
            <w:tcBorders>
              <w:top w:val="single" w:sz="4" w:space="0" w:color="auto"/>
              <w:left w:val="single" w:sz="4" w:space="0" w:color="auto"/>
              <w:bottom w:val="single" w:sz="4" w:space="0" w:color="auto"/>
              <w:right w:val="single" w:sz="4" w:space="0" w:color="auto"/>
            </w:tcBorders>
            <w:hideMark/>
          </w:tcPr>
          <w:p w:rsidR="00C92723" w:rsidRPr="00F975F0" w:rsidRDefault="00C92723" w:rsidP="00F07071">
            <w:pPr>
              <w:pStyle w:val="Default"/>
              <w:framePr w:wrap="auto" w:vAnchor="page" w:hAnchor="page" w:x="1714" w:y="1081"/>
              <w:spacing w:after="120"/>
              <w:rPr>
                <w:rFonts w:ascii="Times New Roman" w:hAnsi="Times New Roman"/>
                <w:b/>
                <w:sz w:val="20"/>
                <w:szCs w:val="20"/>
              </w:rPr>
            </w:pPr>
            <w:r>
              <w:rPr>
                <w:rFonts w:ascii="Times New Roman" w:hAnsi="Times New Roman"/>
                <w:b/>
                <w:sz w:val="20"/>
                <w:szCs w:val="20"/>
              </w:rPr>
              <w:t>03/15/2021</w:t>
            </w:r>
          </w:p>
        </w:tc>
      </w:tr>
      <w:tr w:rsidR="00C92723" w:rsidRPr="003E16D1" w:rsidTr="00F07071">
        <w:tc>
          <w:tcPr>
            <w:tcW w:w="2515"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pStyle w:val="Default"/>
              <w:framePr w:wrap="auto" w:vAnchor="page" w:hAnchor="page" w:x="1714" w:y="1081"/>
              <w:spacing w:after="120"/>
              <w:jc w:val="center"/>
              <w:rPr>
                <w:rFonts w:ascii="Times New Roman" w:hAnsi="Times New Roman"/>
                <w:b/>
                <w:sz w:val="20"/>
                <w:szCs w:val="20"/>
              </w:rPr>
            </w:pPr>
            <w:r w:rsidRPr="003E16D1">
              <w:rPr>
                <w:rFonts w:ascii="Times New Roman" w:hAnsi="Times New Roman"/>
                <w:b/>
                <w:sz w:val="20"/>
                <w:szCs w:val="20"/>
              </w:rPr>
              <w:t>PAGE</w:t>
            </w:r>
          </w:p>
        </w:tc>
        <w:tc>
          <w:tcPr>
            <w:tcW w:w="6300" w:type="dxa"/>
            <w:tcBorders>
              <w:top w:val="single" w:sz="4" w:space="0" w:color="auto"/>
              <w:left w:val="single" w:sz="4" w:space="0" w:color="auto"/>
              <w:bottom w:val="single" w:sz="4" w:space="0" w:color="auto"/>
              <w:right w:val="single" w:sz="4" w:space="0" w:color="auto"/>
            </w:tcBorders>
            <w:hideMark/>
          </w:tcPr>
          <w:p w:rsidR="00C92723" w:rsidRPr="003E16D1" w:rsidRDefault="00C92723" w:rsidP="00F07071">
            <w:pPr>
              <w:pStyle w:val="Default"/>
              <w:framePr w:wrap="auto" w:vAnchor="page" w:hAnchor="page" w:x="1714" w:y="1081"/>
              <w:spacing w:after="120"/>
              <w:rPr>
                <w:rFonts w:ascii="Times New Roman" w:hAnsi="Times New Roman"/>
                <w:b/>
                <w:sz w:val="20"/>
                <w:szCs w:val="20"/>
              </w:rPr>
            </w:pPr>
          </w:p>
        </w:tc>
      </w:tr>
    </w:tbl>
    <w:p w:rsidR="00C92723" w:rsidRPr="00A915B8" w:rsidRDefault="00C92723" w:rsidP="00C92723">
      <w:pPr>
        <w:contextualSpacing/>
        <w:rPr>
          <w:rFonts w:asciiTheme="minorHAnsi" w:hAnsiTheme="minorHAnsi"/>
          <w:sz w:val="28"/>
          <w:szCs w:val="28"/>
          <w:u w:val="single"/>
        </w:rPr>
      </w:pPr>
      <w:r w:rsidRPr="00A915B8">
        <w:rPr>
          <w:rFonts w:asciiTheme="minorHAnsi" w:hAnsiTheme="minorHAnsi"/>
          <w:sz w:val="28"/>
          <w:szCs w:val="28"/>
          <w:u w:val="single"/>
        </w:rPr>
        <w:t>Policy:</w:t>
      </w:r>
    </w:p>
    <w:p w:rsidR="00C92723" w:rsidRPr="00CB08DF" w:rsidRDefault="00C92723" w:rsidP="00C92723">
      <w:pPr>
        <w:contextualSpacing/>
        <w:rPr>
          <w:rFonts w:asciiTheme="minorHAnsi" w:hAnsiTheme="minorHAnsi"/>
        </w:rPr>
      </w:pPr>
      <w:r w:rsidRPr="00CB08DF">
        <w:rPr>
          <w:rFonts w:asciiTheme="minorHAnsi" w:hAnsiTheme="minorHAnsi"/>
        </w:rPr>
        <w:t xml:space="preserve">Transitions Healthcare </w:t>
      </w:r>
      <w:r>
        <w:rPr>
          <w:rFonts w:asciiTheme="minorHAnsi" w:hAnsiTheme="minorHAnsi"/>
        </w:rPr>
        <w:t>Washington PA</w:t>
      </w:r>
      <w:r w:rsidRPr="00CB08DF">
        <w:rPr>
          <w:rFonts w:asciiTheme="minorHAnsi" w:hAnsiTheme="minorHAnsi"/>
        </w:rPr>
        <w:t xml:space="preserve"> offers inside visitation to assist with family interaction</w:t>
      </w:r>
    </w:p>
    <w:p w:rsidR="00C92723" w:rsidRPr="00A915B8" w:rsidRDefault="00C92723" w:rsidP="00C92723">
      <w:pPr>
        <w:contextualSpacing/>
        <w:rPr>
          <w:rFonts w:asciiTheme="minorHAnsi" w:hAnsiTheme="minorHAnsi"/>
        </w:rPr>
      </w:pPr>
    </w:p>
    <w:p w:rsidR="00C92723" w:rsidRPr="00A915B8" w:rsidRDefault="00C92723" w:rsidP="00C92723">
      <w:pPr>
        <w:contextualSpacing/>
        <w:rPr>
          <w:rFonts w:asciiTheme="minorHAnsi" w:hAnsiTheme="minorHAnsi"/>
          <w:sz w:val="28"/>
          <w:szCs w:val="28"/>
          <w:u w:val="single"/>
        </w:rPr>
      </w:pPr>
      <w:r w:rsidRPr="00A915B8">
        <w:rPr>
          <w:rFonts w:asciiTheme="minorHAnsi" w:hAnsiTheme="minorHAnsi"/>
          <w:sz w:val="28"/>
          <w:szCs w:val="28"/>
          <w:u w:val="single"/>
        </w:rPr>
        <w:t>Procedure:</w:t>
      </w:r>
    </w:p>
    <w:p w:rsidR="00C92723" w:rsidRDefault="00C92723" w:rsidP="00C92723">
      <w:pPr>
        <w:pStyle w:val="ListParagraph"/>
        <w:numPr>
          <w:ilvl w:val="0"/>
          <w:numId w:val="1"/>
        </w:numPr>
        <w:contextualSpacing w:val="0"/>
        <w:rPr>
          <w:sz w:val="22"/>
          <w:szCs w:val="22"/>
        </w:rPr>
      </w:pPr>
      <w:r>
        <w:t>Resident</w:t>
      </w:r>
      <w:r>
        <w:t xml:space="preserve"> visitation must be scheduled </w:t>
      </w:r>
      <w:r w:rsidR="00846221">
        <w:t xml:space="preserve">at least </w:t>
      </w:r>
      <w:bookmarkStart w:id="0" w:name="_GoBack"/>
      <w:bookmarkEnd w:id="0"/>
      <w:r>
        <w:t>24</w:t>
      </w:r>
      <w:r>
        <w:t xml:space="preserve"> hours in advance</w:t>
      </w:r>
    </w:p>
    <w:p w:rsidR="00C92723" w:rsidRDefault="00C92723" w:rsidP="00C92723">
      <w:pPr>
        <w:pStyle w:val="ListParagraph"/>
        <w:numPr>
          <w:ilvl w:val="0"/>
          <w:numId w:val="1"/>
        </w:numPr>
        <w:contextualSpacing w:val="0"/>
      </w:pPr>
      <w:r>
        <w:t>To assure all residents have the opportunity for visitation, each resident may only be scheduled visitations no more than twice a week</w:t>
      </w:r>
    </w:p>
    <w:p w:rsidR="00C92723" w:rsidRDefault="00C92723" w:rsidP="00C92723">
      <w:pPr>
        <w:pStyle w:val="ListParagraph"/>
        <w:numPr>
          <w:ilvl w:val="0"/>
          <w:numId w:val="1"/>
        </w:numPr>
        <w:contextualSpacing w:val="0"/>
      </w:pPr>
      <w:r>
        <w:t xml:space="preserve">Visitations are Monday through Friday </w:t>
      </w:r>
      <w:r>
        <w:t>1:00P- 1:30P,</w:t>
      </w:r>
      <w:r>
        <w:t xml:space="preserve"> 2:00</w:t>
      </w:r>
      <w:r>
        <w:t>-2:30P, 3:00-3:30 P</w:t>
      </w:r>
      <w:r>
        <w:t xml:space="preserve"> and </w:t>
      </w:r>
      <w:r>
        <w:t>Thursday evenings from 6:00-6:30P</w:t>
      </w:r>
    </w:p>
    <w:p w:rsidR="00C92723" w:rsidRDefault="00C92723" w:rsidP="00C92723">
      <w:pPr>
        <w:pStyle w:val="ListParagraph"/>
        <w:numPr>
          <w:ilvl w:val="0"/>
          <w:numId w:val="1"/>
        </w:numPr>
        <w:contextualSpacing w:val="0"/>
      </w:pPr>
      <w:r>
        <w:t>No more than 2 visitors per resident is permitted</w:t>
      </w:r>
    </w:p>
    <w:p w:rsidR="00C92723" w:rsidRDefault="00C92723" w:rsidP="00C92723">
      <w:pPr>
        <w:pStyle w:val="ListParagraph"/>
        <w:numPr>
          <w:ilvl w:val="0"/>
          <w:numId w:val="1"/>
        </w:numPr>
        <w:contextualSpacing w:val="0"/>
      </w:pPr>
      <w:r>
        <w:t>Visits are no more than 30 minutes in length to provide time for disinfecting tables, chairs and touch surfaces with approved CDC Disinfectants.  Disinfecting occurs prior to and after visitation.</w:t>
      </w:r>
    </w:p>
    <w:p w:rsidR="00C92723" w:rsidRDefault="00C92723" w:rsidP="00C92723">
      <w:pPr>
        <w:pStyle w:val="ListParagraph"/>
        <w:numPr>
          <w:ilvl w:val="0"/>
          <w:numId w:val="1"/>
        </w:numPr>
        <w:contextualSpacing w:val="0"/>
      </w:pPr>
      <w:r>
        <w:t xml:space="preserve">Reserving a time for visitation can be made Monday through Friday during normal business hours by contacting </w:t>
      </w:r>
      <w:r>
        <w:t>the main business line.</w:t>
      </w:r>
    </w:p>
    <w:p w:rsidR="00C92723" w:rsidRDefault="00C92723" w:rsidP="00C92723">
      <w:pPr>
        <w:pStyle w:val="ListParagraph"/>
        <w:numPr>
          <w:ilvl w:val="0"/>
          <w:numId w:val="1"/>
        </w:numPr>
        <w:contextualSpacing w:val="0"/>
      </w:pPr>
      <w:r>
        <w:t>There will be no free standing, prescheduled visits on a routine basis for any resident.</w:t>
      </w:r>
    </w:p>
    <w:p w:rsidR="00C92723" w:rsidRDefault="00C92723" w:rsidP="00C92723">
      <w:pPr>
        <w:pStyle w:val="ListParagraph"/>
        <w:numPr>
          <w:ilvl w:val="0"/>
          <w:numId w:val="1"/>
        </w:numPr>
        <w:contextualSpacing w:val="0"/>
      </w:pPr>
      <w:r>
        <w:t>Residents who are in yellow droplet precautions</w:t>
      </w:r>
      <w:r w:rsidR="00BF0E05">
        <w:t xml:space="preserve"> (i.e. new admissions) will</w:t>
      </w:r>
      <w:r>
        <w:t xml:space="preserve"> not be eligible for visits until they have droplet precautions discontinued</w:t>
      </w:r>
      <w:r w:rsidR="00BF0E05">
        <w:t>.</w:t>
      </w:r>
    </w:p>
    <w:p w:rsidR="00C92723" w:rsidRDefault="00C92723" w:rsidP="00C92723">
      <w:pPr>
        <w:pStyle w:val="ListParagraph"/>
        <w:numPr>
          <w:ilvl w:val="0"/>
          <w:numId w:val="1"/>
        </w:numPr>
        <w:contextualSpacing w:val="0"/>
      </w:pPr>
      <w:r>
        <w:t>Visitors must wear masks and Enter the main lobby for screening</w:t>
      </w:r>
    </w:p>
    <w:p w:rsidR="00C92723" w:rsidRDefault="00C92723" w:rsidP="00C92723">
      <w:pPr>
        <w:pStyle w:val="ListParagraph"/>
        <w:numPr>
          <w:ilvl w:val="0"/>
          <w:numId w:val="1"/>
        </w:numPr>
        <w:contextualSpacing w:val="0"/>
      </w:pPr>
      <w:r>
        <w:t>Visitation can be denied if visitor does not pass screening</w:t>
      </w:r>
    </w:p>
    <w:p w:rsidR="00C92723" w:rsidRDefault="00C92723" w:rsidP="00C92723">
      <w:pPr>
        <w:pStyle w:val="ListParagraph"/>
        <w:numPr>
          <w:ilvl w:val="0"/>
          <w:numId w:val="1"/>
        </w:numPr>
        <w:contextualSpacing w:val="0"/>
      </w:pPr>
      <w:r>
        <w:t xml:space="preserve">After passing screening, Visitor will </w:t>
      </w:r>
      <w:r w:rsidR="00BF0E05">
        <w:t>be escorted</w:t>
      </w:r>
      <w:r>
        <w:t xml:space="preserve"> through neutral area to main dining room, and follow arrows to seat. </w:t>
      </w:r>
    </w:p>
    <w:p w:rsidR="00C92723" w:rsidRDefault="00C92723" w:rsidP="00C92723">
      <w:pPr>
        <w:pStyle w:val="ListParagraph"/>
        <w:numPr>
          <w:ilvl w:val="0"/>
          <w:numId w:val="1"/>
        </w:numPr>
        <w:contextualSpacing w:val="0"/>
      </w:pPr>
      <w:r>
        <w:t xml:space="preserve">Masks must be worn through </w:t>
      </w:r>
      <w:r w:rsidR="00BF0E05">
        <w:t xml:space="preserve">the </w:t>
      </w:r>
      <w:r>
        <w:t>entire visit</w:t>
      </w:r>
      <w:r w:rsidR="00BF0E05">
        <w:t>.</w:t>
      </w:r>
    </w:p>
    <w:p w:rsidR="00C92723" w:rsidRDefault="00BF0E05" w:rsidP="00C92723">
      <w:pPr>
        <w:pStyle w:val="ListParagraph"/>
        <w:numPr>
          <w:ilvl w:val="0"/>
          <w:numId w:val="1"/>
        </w:numPr>
        <w:contextualSpacing w:val="0"/>
      </w:pPr>
      <w:r>
        <w:t>It is the facilities recommendation that families maintain soc</w:t>
      </w:r>
      <w:r w:rsidR="00824207">
        <w:t xml:space="preserve">ial distancing as a CMS Core Principle of Infection Control for COVID 19. This continues to be the safest way to prevent the spread of COVID 19, particularly if either party has not been fully vaccinated.  If the resident is fully vaccinated they can choose to have close contact while wearing a well fitted face mask and performing hand hygiene before and after. Regardless, visitors should physically distance from other residents and staff at the facility. </w:t>
      </w:r>
    </w:p>
    <w:p w:rsidR="00846221" w:rsidRDefault="00846221" w:rsidP="00846221">
      <w:pPr>
        <w:pStyle w:val="ListParagraph"/>
        <w:numPr>
          <w:ilvl w:val="0"/>
          <w:numId w:val="1"/>
        </w:numPr>
        <w:contextualSpacing w:val="0"/>
      </w:pPr>
      <w:r>
        <w:t>Residents that are identified as high risk for moving (i.e. bed-bound patients) will received in room visits.</w:t>
      </w:r>
    </w:p>
    <w:p w:rsidR="00C92723" w:rsidRDefault="00C92723" w:rsidP="00C92723">
      <w:pPr>
        <w:pStyle w:val="ListParagraph"/>
        <w:numPr>
          <w:ilvl w:val="0"/>
          <w:numId w:val="1"/>
        </w:numPr>
        <w:contextualSpacing w:val="0"/>
      </w:pPr>
      <w:r>
        <w:t>Visitors will respect the other residents and visitors in the visitation area</w:t>
      </w:r>
    </w:p>
    <w:p w:rsidR="00C92723" w:rsidRDefault="00C92723" w:rsidP="00C92723">
      <w:pPr>
        <w:pStyle w:val="ListParagraph"/>
        <w:numPr>
          <w:ilvl w:val="0"/>
          <w:numId w:val="1"/>
        </w:numPr>
        <w:contextualSpacing w:val="0"/>
      </w:pPr>
      <w:r>
        <w:t>Violation of any rules would disqualify visitor from future visits</w:t>
      </w:r>
    </w:p>
    <w:p w:rsidR="00E63D86" w:rsidRDefault="00C92723" w:rsidP="00824207">
      <w:pPr>
        <w:pStyle w:val="ListParagraph"/>
        <w:numPr>
          <w:ilvl w:val="0"/>
          <w:numId w:val="1"/>
        </w:numPr>
        <w:contextualSpacing w:val="0"/>
      </w:pPr>
      <w:r>
        <w:t xml:space="preserve">Visitation may be cancelled for </w:t>
      </w:r>
      <w:r w:rsidR="00824207">
        <w:t xml:space="preserve">any </w:t>
      </w:r>
      <w:r>
        <w:t>unforeseen circu</w:t>
      </w:r>
      <w:r w:rsidR="00824207">
        <w:t>mstances.</w:t>
      </w:r>
    </w:p>
    <w:p w:rsidR="00846221" w:rsidRDefault="00846221" w:rsidP="00824207">
      <w:pPr>
        <w:pStyle w:val="ListParagraph"/>
        <w:numPr>
          <w:ilvl w:val="0"/>
          <w:numId w:val="1"/>
        </w:numPr>
        <w:contextualSpacing w:val="0"/>
      </w:pPr>
      <w:r>
        <w:t>County COVID rates must remain below 10% for visitation to remain open.</w:t>
      </w:r>
    </w:p>
    <w:sectPr w:rsidR="00846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tima">
    <w:altName w:val="Optim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D6DCB"/>
    <w:multiLevelType w:val="hybridMultilevel"/>
    <w:tmpl w:val="B40EF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23"/>
    <w:rsid w:val="000B1083"/>
    <w:rsid w:val="00765D0E"/>
    <w:rsid w:val="00824207"/>
    <w:rsid w:val="00846221"/>
    <w:rsid w:val="00BF0E05"/>
    <w:rsid w:val="00C92723"/>
    <w:rsid w:val="00D95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1A0CF-FF83-45C1-89D0-7D2D4C08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723"/>
    <w:pPr>
      <w:widowControl w:val="0"/>
      <w:autoSpaceDE w:val="0"/>
      <w:autoSpaceDN w:val="0"/>
      <w:adjustRightInd w:val="0"/>
      <w:spacing w:after="0" w:line="240" w:lineRule="auto"/>
    </w:pPr>
    <w:rPr>
      <w:rFonts w:ascii="Optima" w:eastAsia="Times New Roman" w:hAnsi="Optima" w:cs="Times New Roman"/>
      <w:color w:val="000000"/>
      <w:sz w:val="24"/>
      <w:szCs w:val="24"/>
    </w:rPr>
  </w:style>
  <w:style w:type="paragraph" w:styleId="ListParagraph">
    <w:name w:val="List Paragraph"/>
    <w:basedOn w:val="Normal"/>
    <w:uiPriority w:val="34"/>
    <w:qFormat/>
    <w:rsid w:val="00C92723"/>
    <w:pPr>
      <w:ind w:left="720"/>
      <w:contextualSpacing/>
    </w:pPr>
  </w:style>
  <w:style w:type="paragraph" w:styleId="BalloonText">
    <w:name w:val="Balloon Text"/>
    <w:basedOn w:val="Normal"/>
    <w:link w:val="BalloonTextChar"/>
    <w:uiPriority w:val="99"/>
    <w:semiHidden/>
    <w:unhideWhenUsed/>
    <w:rsid w:val="008462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22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Jennifer</dc:creator>
  <cp:keywords/>
  <dc:description/>
  <cp:lastModifiedBy>Watson, Jennifer</cp:lastModifiedBy>
  <cp:revision>1</cp:revision>
  <cp:lastPrinted>2021-03-12T21:19:00Z</cp:lastPrinted>
  <dcterms:created xsi:type="dcterms:W3CDTF">2021-03-12T20:42:00Z</dcterms:created>
  <dcterms:modified xsi:type="dcterms:W3CDTF">2021-03-12T21:39:00Z</dcterms:modified>
</cp:coreProperties>
</file>